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0661" w14:textId="77777777" w:rsidR="000B3C35" w:rsidRDefault="003373B9">
      <w:pPr>
        <w:pStyle w:val="berschrift1"/>
      </w:pPr>
      <w:r>
        <w:t>Hafenanweisung 2018</w:t>
      </w:r>
    </w:p>
    <w:p w14:paraId="646F8696" w14:textId="77777777" w:rsidR="000B3C35" w:rsidRDefault="003373B9">
      <w:r>
        <w:t>Sicherheits- und Melderegelungen für Seeschiffe im Hafen Hamburg (Altversion)</w:t>
      </w:r>
    </w:p>
    <w:p w14:paraId="258B100C" w14:textId="77777777" w:rsidR="000B3C35" w:rsidRDefault="003373B9">
      <w:r>
        <w:t>Diese Hafenanweisung trat zum 01.01.2018 in Kraft und gilt für alle Seeschiffe, die den Hafen Hamburg anlaufen. Sie ersetzt frühere Richtlinien und diente als Grundlage für die digitalisierten Melde- und Sicherheitsprozesse, die in der Fassung 2025 deutlich erweitert und präzisiert wurden.</w:t>
      </w:r>
    </w:p>
    <w:p w14:paraId="62F350E2" w14:textId="77777777" w:rsidR="000B3C35" w:rsidRDefault="003373B9">
      <w:pPr>
        <w:pStyle w:val="berschrift2"/>
      </w:pPr>
      <w:r>
        <w:t>§ 1 Geltungsbereich</w:t>
      </w:r>
    </w:p>
    <w:p w14:paraId="2B72D49B" w14:textId="77777777" w:rsidR="000B3C35" w:rsidRDefault="003373B9">
      <w:r>
        <w:t>1. Diese Anweisung gilt für Schiffe ab 500 BRZ.</w:t>
      </w:r>
      <w:r>
        <w:br/>
        <w:t>2. Adressaten sind Reedereien und bevollmächtigte Agenten.</w:t>
      </w:r>
      <w:r>
        <w:br/>
        <w:t>3. Spezialregelungen sind im Einzelfall mit der Hafenbehörde abzustimmen.</w:t>
      </w:r>
    </w:p>
    <w:p w14:paraId="6F53045D" w14:textId="77777777" w:rsidR="000B3C35" w:rsidRDefault="003373B9">
      <w:pPr>
        <w:pStyle w:val="berschrift2"/>
      </w:pPr>
      <w:r>
        <w:t>§ 2 Sicherheitsmeldungen</w:t>
      </w:r>
    </w:p>
    <w:p w14:paraId="5EDB5D9E" w14:textId="77777777" w:rsidR="000B3C35" w:rsidRDefault="003373B9">
      <w:r>
        <w:t>1. Vor Einlaufen in den Hafen Hamburg ist eine Sicherheitsmeldung gemäß ISPS-Codeteil A/ISPS 3 einzureichen.</w:t>
      </w:r>
      <w:r>
        <w:br/>
        <w:t>2. Die Meldung enthält Angaben zu:</w:t>
      </w:r>
      <w:r>
        <w:br/>
        <w:t xml:space="preserve">   a) Schiffsdaten (Name, IMO-Nummer, Flagge),</w:t>
      </w:r>
      <w:r>
        <w:br/>
        <w:t xml:space="preserve">   b) Sicherheitsstufe und Sicherheitsmaßnahmen an Bord,</w:t>
      </w:r>
      <w:r>
        <w:br/>
        <w:t xml:space="preserve">   c) sicherheitsrelevanten Vorkommnissen der letzten Reise.</w:t>
      </w:r>
      <w:r>
        <w:br/>
        <w:t>3. Die Meldung ist mindestens 12 Stunden vor Ankunft einzureichen.</w:t>
      </w:r>
      <w:r>
        <w:br/>
        <w:t>4. Das Format war freigestellt (E-Mail oder PDF).</w:t>
      </w:r>
    </w:p>
    <w:p w14:paraId="20A35DBA" w14:textId="77777777" w:rsidR="000B3C35" w:rsidRDefault="003373B9">
      <w:pPr>
        <w:pStyle w:val="berschrift2"/>
      </w:pPr>
      <w:r>
        <w:t>§ 3 Gefahrgutmeldung</w:t>
      </w:r>
    </w:p>
    <w:p w14:paraId="364F6E8E" w14:textId="77777777" w:rsidR="000B3C35" w:rsidRDefault="003373B9">
      <w:r>
        <w:t>1. Schiffe mit Gefahrgut gemäß IMDG-Code hatten eine Gefahrgutmeldung zu übermitteln.</w:t>
      </w:r>
      <w:r>
        <w:br/>
        <w:t>2. Diese musste folgende Angaben enthalten:</w:t>
      </w:r>
      <w:r>
        <w:br/>
        <w:t xml:space="preserve">   a) Art des Gefahrguts,</w:t>
      </w:r>
      <w:r>
        <w:br/>
        <w:t xml:space="preserve">   b) UN-Nummer,</w:t>
      </w:r>
      <w:r>
        <w:br/>
        <w:t xml:space="preserve">   c) Stauort an Bord (ohne digitales Schema).</w:t>
      </w:r>
      <w:r>
        <w:br/>
        <w:t>3. Echtzeit-Ortungssysteme waren nicht verpflichtend.</w:t>
      </w:r>
    </w:p>
    <w:p w14:paraId="20510A17" w14:textId="77777777" w:rsidR="000B3C35" w:rsidRDefault="003373B9">
      <w:pPr>
        <w:pStyle w:val="berschrift2"/>
      </w:pPr>
      <w:r>
        <w:t>§ 4 Crew-Dokumentation</w:t>
      </w:r>
    </w:p>
    <w:p w14:paraId="5FFCD94A" w14:textId="77777777" w:rsidR="000B3C35" w:rsidRDefault="003373B9">
      <w:r>
        <w:t>1. Ein Crew-Register war auf Nachfrage der Hafenbehörde bereitzustellen.</w:t>
      </w:r>
      <w:r>
        <w:br/>
        <w:t>2. Eine verpflichtende elektronische Übermittlung vor Ankunft war nicht vorgesehen.</w:t>
      </w:r>
      <w:r>
        <w:br/>
        <w:t>3. Crew-Unterweisungen waren empfohlen, aber nicht verbindlich dokumentationspflichtig.</w:t>
      </w:r>
    </w:p>
    <w:p w14:paraId="0228C9EC" w14:textId="77777777" w:rsidR="000B3C35" w:rsidRDefault="003373B9">
      <w:pPr>
        <w:pStyle w:val="berschrift2"/>
      </w:pPr>
      <w:r>
        <w:t>§ 5 Meldepflichten bei Abweichungen</w:t>
      </w:r>
    </w:p>
    <w:p w14:paraId="71D714A2" w14:textId="77777777" w:rsidR="000B3C35" w:rsidRDefault="003373B9">
      <w:r>
        <w:t>1. Änderungen der ETA oder sicherheitsrelevante Ereignisse waren per E-Mail oder Telefon zu melden.</w:t>
      </w:r>
      <w:r>
        <w:br/>
        <w:t>2. Die Nutzung eines zentralen Hafenportals war nicht verpflichtend.</w:t>
      </w:r>
    </w:p>
    <w:p w14:paraId="633F8A01" w14:textId="77777777" w:rsidR="000B3C35" w:rsidRDefault="003373B9">
      <w:pPr>
        <w:pStyle w:val="berschrift2"/>
      </w:pPr>
      <w:r>
        <w:t>§ 6 Verantwortlichkeiten</w:t>
      </w:r>
    </w:p>
    <w:p w14:paraId="179E4293" w14:textId="77777777" w:rsidR="000B3C35" w:rsidRDefault="003373B9">
      <w:r>
        <w:t>1. Die Reederei hat einen Ansprechpartner für Sicherheitsmeldungen benannt.</w:t>
      </w:r>
      <w:r>
        <w:br/>
        <w:t>2. Eine formelle Registrierung eines Compliance-Beauftragten war nicht erforderlich.</w:t>
      </w:r>
      <w:r>
        <w:br/>
      </w:r>
    </w:p>
    <w:p w14:paraId="2D6CBEB2" w14:textId="77777777" w:rsidR="000B3C35" w:rsidRDefault="003373B9">
      <w:pPr>
        <w:pStyle w:val="berschrift2"/>
      </w:pPr>
      <w:r>
        <w:lastRenderedPageBreak/>
        <w:t>§ 7 Sanktionen</w:t>
      </w:r>
    </w:p>
    <w:p w14:paraId="3FDC7C78" w14:textId="77777777" w:rsidR="000B3C35" w:rsidRDefault="003373B9">
      <w:r>
        <w:t>1. Bei Verstößen konnte die Hafenbehörde Kontrollen anordnen.</w:t>
      </w:r>
      <w:r>
        <w:br/>
        <w:t>2. Bußgelder waren möglich, aber geringer strukturiert als im späteren Regelwerk 2025.</w:t>
      </w:r>
    </w:p>
    <w:sectPr w:rsidR="000B3C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9661989">
    <w:abstractNumId w:val="8"/>
  </w:num>
  <w:num w:numId="2" w16cid:durableId="1620605156">
    <w:abstractNumId w:val="6"/>
  </w:num>
  <w:num w:numId="3" w16cid:durableId="1115714326">
    <w:abstractNumId w:val="5"/>
  </w:num>
  <w:num w:numId="4" w16cid:durableId="590311169">
    <w:abstractNumId w:val="4"/>
  </w:num>
  <w:num w:numId="5" w16cid:durableId="266156873">
    <w:abstractNumId w:val="7"/>
  </w:num>
  <w:num w:numId="6" w16cid:durableId="1248685981">
    <w:abstractNumId w:val="3"/>
  </w:num>
  <w:num w:numId="7" w16cid:durableId="1842156001">
    <w:abstractNumId w:val="2"/>
  </w:num>
  <w:num w:numId="8" w16cid:durableId="913852491">
    <w:abstractNumId w:val="1"/>
  </w:num>
  <w:num w:numId="9" w16cid:durableId="95571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C35"/>
    <w:rsid w:val="0015074B"/>
    <w:rsid w:val="0029639D"/>
    <w:rsid w:val="00326F90"/>
    <w:rsid w:val="003373B9"/>
    <w:rsid w:val="00A5211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6E233"/>
  <w14:defaultImageDpi w14:val="300"/>
  <w15:docId w15:val="{23816BBE-A5C9-4CC6-9B71-B9A9CEC9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Rea Engel</cp:lastModifiedBy>
  <cp:revision>2</cp:revision>
  <dcterms:created xsi:type="dcterms:W3CDTF">2025-11-25T11:43:00Z</dcterms:created>
  <dcterms:modified xsi:type="dcterms:W3CDTF">2025-11-25T11:43:00Z</dcterms:modified>
  <cp:category/>
</cp:coreProperties>
</file>