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ECDF" w14:textId="77777777" w:rsidR="001723E7" w:rsidRDefault="00315FCE">
      <w:pPr>
        <w:pStyle w:val="berschrift1"/>
      </w:pPr>
      <w:r>
        <w:t>Hafenanweisung 2025</w:t>
      </w:r>
    </w:p>
    <w:p w14:paraId="5814E6A0" w14:textId="77777777" w:rsidR="001723E7" w:rsidRDefault="00315FCE">
      <w:r>
        <w:t>Sicherheits- und Ladungsüberwachung für einlaufende Seeschiffe im Hafen Hamburg</w:t>
      </w:r>
    </w:p>
    <w:p w14:paraId="34E06A22" w14:textId="77777777" w:rsidR="001723E7" w:rsidRDefault="00315FCE">
      <w:r>
        <w:t xml:space="preserve">Diese Hafenanweisung richtet sich an alle Reedereien, Betreiber und bevollmächtigten Agenten, deren Seeschiffe den Hafen Hamburg anlaufen. Sie konkretisiert die bestehenden gesetzlichen Vorschriften und legt verbindliche Anforderungen im Hinblick auf Sicherheitsdokumentation, Ladungsüberwachung, Crew-Management und digitale Meldeprozesse fest. Ziel ist die Erhöhung der betrieblichen Sicherheit, der Transparenz der Ladungsdaten sowie der Compliance mit internationalen Standards (u. a. SOLAS, ISPS, IMDG, ISO </w:t>
      </w:r>
      <w:r>
        <w:t>19848).</w:t>
      </w:r>
    </w:p>
    <w:p w14:paraId="2054644F" w14:textId="77777777" w:rsidR="001723E7" w:rsidRDefault="00315FCE">
      <w:pPr>
        <w:pStyle w:val="berschrift2"/>
      </w:pPr>
      <w:r>
        <w:t>§ 1 Geltungsbereich</w:t>
      </w:r>
    </w:p>
    <w:p w14:paraId="6098E8E3" w14:textId="77777777" w:rsidR="001723E7" w:rsidRDefault="00315FCE">
      <w:r>
        <w:t>1. Diese Anweisung gilt für alle Seeschiffe ab 500 BRZ, die den Hafen Hamburg im Linien- oder Trampverkehr anlaufen.</w:t>
      </w:r>
      <w:r>
        <w:br/>
        <w:t>2. Sie findet Anwendung auf die Reederei, den Schiffsbetreiber sowie etwaige bevollmächtigte Agenten, die im Namen der Reederei handeln.</w:t>
      </w:r>
      <w:r>
        <w:br/>
        <w:t>3. Spezialfälle (z. B. Offshore-Versorgungsschiffe, Marinefahrzeuge) können gesonderten Regelungen unterliegen; in Zweifelsfällen entscheidet die Hafenbehörde.</w:t>
      </w:r>
    </w:p>
    <w:p w14:paraId="652B4386" w14:textId="77777777" w:rsidR="001723E7" w:rsidRDefault="00315FCE">
      <w:pPr>
        <w:pStyle w:val="berschrift2"/>
      </w:pPr>
      <w:r>
        <w:t>§ 2 Begriffsbestimmungen</w:t>
      </w:r>
    </w:p>
    <w:p w14:paraId="47CA5D92" w14:textId="77777777" w:rsidR="001723E7" w:rsidRDefault="00315FCE">
      <w:r>
        <w:t>Im Sinne dieser Anweisung bedeuten:</w:t>
      </w:r>
      <w:r>
        <w:br/>
        <w:t>1. „Sicherheitsmanifest“: ein digitalisiertes Dokument, das die sicherheitsrelevanten Angaben zum Schiff, zur Ladung, zu Gefahrgütern (IMDG) sowie zu sicherheitsrelevanten Ereignissen der letzten Reise enthält.</w:t>
      </w:r>
      <w:r>
        <w:br/>
        <w:t>2. „Digitales Crew-Register“: eine aktuelle, elektronisch übermittelte Übersicht sämtlicher Crewmitglieder, inklusive Funktion an Bord, Nationalität, Ausweis- bzw. Seefahrtsbuchnummer und relevanter Zertifikate.</w:t>
      </w:r>
      <w:r>
        <w:br/>
        <w:t>3. „Echtzeit-Ortungssystem“: ein technisches System, das Schiffspositionsdaten sowie aus</w:t>
      </w:r>
      <w:r>
        <w:t>gewählte Betriebsdaten in Echtzeit oder near-real-time übermittelt und den Anforderungen von ISO 19848 entspricht.</w:t>
      </w:r>
      <w:r>
        <w:br/>
        <w:t>4. „HPA-SecureLogConnect“: das von der Hamburg Port Authority (HPA) betriebene, gesicherte Webportal zur Übermittlung von Sicherheits-, Ladungs- und Bewegungsdaten.</w:t>
      </w:r>
    </w:p>
    <w:p w14:paraId="3974877A" w14:textId="77777777" w:rsidR="001723E7" w:rsidRDefault="00315FCE">
      <w:pPr>
        <w:pStyle w:val="berschrift2"/>
      </w:pPr>
      <w:r>
        <w:t>§ 3 Übermittlung des Sicherheitsmanifests</w:t>
      </w:r>
    </w:p>
    <w:p w14:paraId="467E1A34" w14:textId="77777777" w:rsidR="001723E7" w:rsidRDefault="00315FCE">
      <w:r>
        <w:t>1. Ab dem 01.06.2025 sind alle Reedereien verpflichtet, vor Einlaufen eines Seeschiffes in den Hafen Hamburg ein digitalisiertes Sicherheitsmanifest zu übermitteln.</w:t>
      </w:r>
      <w:r>
        <w:br/>
        <w:t>2. Das Sicherheitsmanifest ist spätestens 24 Stunden vor der geplanten Ankunftszeit (ETA) des Schiffes elektronisch einzureichen. Bei Fahrten mit kürzerer Dauer ist die Übermittlung unverzüglich nach Festlegung der ETA vorzunehmen.</w:t>
      </w:r>
      <w:r>
        <w:br/>
        <w:t>3. Zulässige Datenformate sind PDF und XML; im XML-Format sind die von der Hafenbehörde bereitgestellten Schemas zu verwenden.</w:t>
      </w:r>
      <w:r>
        <w:br/>
        <w:t>4. Das Sicherheitsmanifest muss mindestens folgende Angaben enthalten:</w:t>
      </w:r>
      <w:r>
        <w:br/>
        <w:t xml:space="preserve">   a) Identifikationsdaten des Schiffes (Name, IMO-Nummer, Rufzeichen, Flagge),</w:t>
      </w:r>
      <w:r>
        <w:br/>
        <w:t xml:space="preserve"> </w:t>
      </w:r>
      <w:r>
        <w:t xml:space="preserve">  b) Reederei- und Agenturangaben mit 24/7-Kontaktdaten,</w:t>
      </w:r>
      <w:r>
        <w:br/>
        <w:t xml:space="preserve">   c) Übersicht über sämtliche Gefahrgüter gemäß IMDG-Code inklusive stauortbezogener Angaben,</w:t>
      </w:r>
      <w:r>
        <w:br/>
        <w:t xml:space="preserve">   d) besondere Sicherheitsvorkommnisse der letzten Reise (z. B. Notfälle, Havarien, </w:t>
      </w:r>
      <w:r>
        <w:lastRenderedPageBreak/>
        <w:t>sicherheitsrelevante        Zwischenfälle),</w:t>
      </w:r>
      <w:r>
        <w:br/>
        <w:t xml:space="preserve">   e) Angaben zur Umsetzung der ISPS-Anforderungen.</w:t>
      </w:r>
      <w:r>
        <w:br/>
        <w:t>5. Unvollständige oder verspätet übermittelte Sicherheitsmanifeste können zu Liegeplatzverzögerungen, zusätzlichen Kontrollen oder ordnungsrechtlichen Maßnahmen führen.</w:t>
      </w:r>
    </w:p>
    <w:p w14:paraId="6EC01049" w14:textId="77777777" w:rsidR="001723E7" w:rsidRDefault="00315FCE">
      <w:pPr>
        <w:pStyle w:val="berschrift2"/>
      </w:pPr>
      <w:r>
        <w:t>§ 4 Anforderungen bei Gefahrgutbeförderung (IMDG)</w:t>
      </w:r>
    </w:p>
    <w:p w14:paraId="593DA0BA" w14:textId="77777777" w:rsidR="001723E7" w:rsidRDefault="00315FCE">
      <w:r>
        <w:t>1. Führen Seeschiffe Gefahrgüter gemäß IMDG-Code mit, ist zusätzlich zur Übermittlung des Sicherheitsmanifests eine Echtzeit-Ortung zu aktivieren.</w:t>
      </w:r>
      <w:r>
        <w:br/>
        <w:t>2. Das verwendete Echtzeit-Ortungssystem muss die Anforderungen der ISO 19848 erfüllen und mindestens folgende Daten bereitstellen:</w:t>
      </w:r>
      <w:r>
        <w:br/>
        <w:t xml:space="preserve">   a) Positionsdaten (Breiten- und Längengrad),</w:t>
      </w:r>
      <w:r>
        <w:br/>
        <w:t xml:space="preserve">   b) Zeitstempel,</w:t>
      </w:r>
      <w:r>
        <w:br/>
        <w:t xml:space="preserve">   c) ausgewählte Betriebsparameter (z. B. Geschwindigkeit über Grund, Kurs),</w:t>
      </w:r>
      <w:r>
        <w:br/>
        <w:t xml:space="preserve">   d) Kennzeichnung, ob Gefahrgut an Bord ist.</w:t>
      </w:r>
      <w:r>
        <w:br/>
        <w:t>3. Die Daten sind der Hafenbehörde auf Anforderung als Nachweis zur Verfügung zu stellen.</w:t>
      </w:r>
      <w:r>
        <w:br/>
        <w:t>4. Bei Ausfall des Echtzeit-Ortungssystems ist unverzüglich eine Störungsmeldung über HPA-SecureL</w:t>
      </w:r>
      <w:r>
        <w:t>ogConnect abzugeben und ein Ersatzverfahren (z. B. manuelle Positionsberichte) zu etablieren.</w:t>
      </w:r>
    </w:p>
    <w:p w14:paraId="2C4BE21A" w14:textId="77777777" w:rsidR="001723E7" w:rsidRDefault="00315FCE">
      <w:pPr>
        <w:pStyle w:val="berschrift2"/>
      </w:pPr>
      <w:r>
        <w:t>§ 5 Crew-Unterweisung und digitales Crew-Register</w:t>
      </w:r>
    </w:p>
    <w:p w14:paraId="762DD3D0" w14:textId="77777777" w:rsidR="001723E7" w:rsidRDefault="00315FCE">
      <w:r>
        <w:t>1. Vor Einlaufen in den Hafen Hamburg hat die Schiffsführung sicherzustellen, dass die gesamte Crew eine verpflichtende Sicherheitsunterweisung zum Thema „Hafenbereich – Restricted Zones und Zugangsregelungen“ erhalten hat.</w:t>
      </w:r>
      <w:r>
        <w:br/>
        <w:t>2. Der Inhalt der Unterweisung hat mindestens folgende Punkte zu umfassen:</w:t>
      </w:r>
      <w:r>
        <w:br/>
        <w:t xml:space="preserve">   a) Zutritts- und Zugangsregelungen im Hafenbereich,</w:t>
      </w:r>
      <w:r>
        <w:br/>
        <w:t xml:space="preserve">   b) Meldewege bei sicherheitsrelevanten Auffälligkeiten,</w:t>
      </w:r>
      <w:r>
        <w:br/>
        <w:t xml:space="preserve">   c) Verhalten bei Evakuierung, Notfällen und Gefahrenlagen,</w:t>
      </w:r>
      <w:r>
        <w:br/>
        <w:t xml:space="preserve">   d) besondere Vorschriften im Umgang mit Gefahrgütern.</w:t>
      </w:r>
      <w:r>
        <w:br/>
        <w:t>3. Die Durchführung der Unterweisung ist an Bord zu dokumentieren und auf Verlangen der Hafenbehörde nachzuweisen.</w:t>
      </w:r>
      <w:r>
        <w:br/>
        <w:t>4. Zusätzlich ist spätestens 24 Stunden vor Ankunft ein digitales Crew-Register über HPA</w:t>
      </w:r>
      <w:r>
        <w:t>-SecureLogConnect einzureichen.</w:t>
      </w:r>
      <w:r>
        <w:br/>
        <w:t>5. Änderungen im Crew-Bestand (z. B. Crewwechsel, kurzfristige Ab- oder Zugänge) sind unverzüglich im digitalen Crew-Register zu aktualisieren.</w:t>
      </w:r>
    </w:p>
    <w:p w14:paraId="5723C0A2" w14:textId="77777777" w:rsidR="001723E7" w:rsidRDefault="00315FCE">
      <w:pPr>
        <w:pStyle w:val="berschrift2"/>
      </w:pPr>
      <w:r>
        <w:t>§ 6 Meldepflichten bei Abweichungen und Verspätungen</w:t>
      </w:r>
    </w:p>
    <w:p w14:paraId="11A1DA40" w14:textId="77777777" w:rsidR="001723E7" w:rsidRDefault="00315FCE">
      <w:r>
        <w:t>1. Abweichungen von der gemeldeten Route, erhebliche Kursänderungen sowie Verspätungen von mehr als 60 Minuten gegenüber der gemeldeten ETA sind über das Portal HPA-SecureLogConnect anzuzeigen.</w:t>
      </w:r>
      <w:r>
        <w:br/>
        <w:t>2. Die Meldung hat den Grund der Abweichung bzw. Verspätung, die zu erwartende neue ETA sowie ggf. sicherheitsrelevante Auswirkungen zu enthalten.</w:t>
      </w:r>
      <w:r>
        <w:br/>
        <w:t>3. Bei sicherheitsrelevanten Ereignissen (z. B. technische Havarie, Ausfall wesentlicher Systeme, Verdachtsmomente auf sicherheitsgefährdende Handlungen) ist zusätzlich unverzüglich Kontakt mit der Hafenbehörde und ggf. weiteren zuständigen Stellen aufzunehmen.</w:t>
      </w:r>
    </w:p>
    <w:p w14:paraId="093E8319" w14:textId="77777777" w:rsidR="001723E7" w:rsidRDefault="00315FCE">
      <w:pPr>
        <w:pStyle w:val="berschrift2"/>
      </w:pPr>
      <w:r>
        <w:t>§ 7 Benennung eines Compliance-Verantwortlichen</w:t>
      </w:r>
    </w:p>
    <w:p w14:paraId="3E381240" w14:textId="77777777" w:rsidR="001723E7" w:rsidRDefault="00315FCE">
      <w:r>
        <w:t>1. Jede Reederei, deren Schiffe den Hafen Hamburg anlaufen, hat einen Compliance-Verantwortlichen zu benennen.</w:t>
      </w:r>
      <w:r>
        <w:br/>
      </w:r>
      <w:r>
        <w:lastRenderedPageBreak/>
        <w:t>2. Der Compliance-Verantwortliche ist gegenüber der Hafenbehörde zu registrieren und fungiert als primärer Ansprechpartner für sämtliche Fragen im Zusammenhang mit dieser Hafenanweisung.</w:t>
      </w:r>
      <w:r>
        <w:br/>
        <w:t>3. Zu den Aufgaben des Compliance-Verantwortlichen gehören insbesondere:</w:t>
      </w:r>
      <w:r>
        <w:br/>
        <w:t xml:space="preserve">   a) Sicherstellung der fristgerechten und vollständigen Übermittlung aller erforderlichen Dokumente,</w:t>
      </w:r>
      <w:r>
        <w:br/>
        <w:t xml:space="preserve">   b) Überwachung der Einhaltung der in dieser Anweisung beschriebenen Prozesse,</w:t>
      </w:r>
      <w:r>
        <w:br/>
        <w:t xml:space="preserve">   c) Koordination mit internen Stellen (z. B. Logistik, Recht, IT,</w:t>
      </w:r>
      <w:r>
        <w:t xml:space="preserve"> Crewing),</w:t>
      </w:r>
      <w:r>
        <w:br/>
        <w:t xml:space="preserve">   d) Initiierung von Korrektur- und Verbesserungsmaßnahmen im Falle von Verstößen.</w:t>
      </w:r>
      <w:r>
        <w:br/>
        <w:t>4. Änderungen in der Person des Compliance-Verantwortlichen sind der Hafenbehörde unverzüglich mitzuteilen.</w:t>
      </w:r>
    </w:p>
    <w:p w14:paraId="0820F59F" w14:textId="77777777" w:rsidR="001723E7" w:rsidRDefault="00315FCE">
      <w:pPr>
        <w:pStyle w:val="berschrift2"/>
      </w:pPr>
      <w:r>
        <w:t>§ 8 Sanktionen und Übergangsregelungen</w:t>
      </w:r>
    </w:p>
    <w:p w14:paraId="737B9C77" w14:textId="77777777" w:rsidR="001723E7" w:rsidRDefault="00315FCE">
      <w:r>
        <w:t>1. Verstöße gegen die in dieser Hafenanweisung festgelegten Pflichten können ordnungsrechtliche Maßnahmen, Bußgelder, zusätzliche Kontrollen sowie betriebliche Einschränkungen nach sich ziehen.</w:t>
      </w:r>
      <w:r>
        <w:br/>
        <w:t>2. Für einen Übergangszeitraum bis zum 31.08.2025 kann die Hafenbehörde auf Antrag Erleichterungen gewähren, sofern die Reederei einen verbindlichen Implementierungsplan vorlegt.</w:t>
      </w:r>
      <w:r>
        <w:br/>
        <w:t>3. Nach Ablauf des Übergangszeitraums ist die vollumfängliche Einhaltung dieser Anweisung verpflichtend.</w:t>
      </w:r>
    </w:p>
    <w:sectPr w:rsidR="001723E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878544388">
    <w:abstractNumId w:val="8"/>
  </w:num>
  <w:num w:numId="2" w16cid:durableId="2113935130">
    <w:abstractNumId w:val="6"/>
  </w:num>
  <w:num w:numId="3" w16cid:durableId="1955405687">
    <w:abstractNumId w:val="5"/>
  </w:num>
  <w:num w:numId="4" w16cid:durableId="2143763475">
    <w:abstractNumId w:val="4"/>
  </w:num>
  <w:num w:numId="5" w16cid:durableId="548959579">
    <w:abstractNumId w:val="7"/>
  </w:num>
  <w:num w:numId="6" w16cid:durableId="986591585">
    <w:abstractNumId w:val="3"/>
  </w:num>
  <w:num w:numId="7" w16cid:durableId="50615983">
    <w:abstractNumId w:val="2"/>
  </w:num>
  <w:num w:numId="8" w16cid:durableId="1763866728">
    <w:abstractNumId w:val="1"/>
  </w:num>
  <w:num w:numId="9" w16cid:durableId="174072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23E7"/>
    <w:rsid w:val="0029639D"/>
    <w:rsid w:val="00315FCE"/>
    <w:rsid w:val="00326F90"/>
    <w:rsid w:val="00A5211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C23920"/>
  <w14:defaultImageDpi w14:val="300"/>
  <w15:docId w15:val="{23816BBE-A5C9-4CC6-9B71-B9A9CEC9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rial" w:hAnsi="Arial"/>
      <w:sz w:val="20"/>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5985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Rea Engel</cp:lastModifiedBy>
  <cp:revision>2</cp:revision>
  <dcterms:created xsi:type="dcterms:W3CDTF">2025-11-25T10:37:00Z</dcterms:created>
  <dcterms:modified xsi:type="dcterms:W3CDTF">2025-11-25T10:37:00Z</dcterms:modified>
  <cp:category/>
</cp:coreProperties>
</file>